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EB578" w14:textId="6E676934"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926446">
        <w:rPr>
          <w:rFonts w:ascii="Arial" w:eastAsia="Batang" w:hAnsi="Arial" w:cs="Arial"/>
          <w:b/>
          <w:bCs/>
          <w:sz w:val="28"/>
          <w:szCs w:val="24"/>
        </w:rPr>
        <w:t> </w:t>
      </w:r>
      <w:r w:rsidR="00926446" w:rsidRPr="00926446">
        <w:rPr>
          <w:rFonts w:ascii="Arial" w:eastAsia="Batang" w:hAnsi="Arial" w:cs="Arial"/>
          <w:b/>
          <w:bCs/>
          <w:sz w:val="28"/>
          <w:szCs w:val="24"/>
        </w:rPr>
        <w:t>10</w:t>
      </w:r>
      <w:r w:rsidR="00926446">
        <w:rPr>
          <w:rFonts w:ascii="Arial" w:eastAsia="Batang" w:hAnsi="Arial" w:cs="Arial"/>
          <w:b/>
          <w:bCs/>
          <w:sz w:val="28"/>
          <w:szCs w:val="24"/>
        </w:rPr>
        <w:t xml:space="preserve">2-e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706AAB" w:rsidRPr="00706AAB">
        <w:rPr>
          <w:rFonts w:ascii="Arial" w:eastAsia="Batang" w:hAnsi="Arial" w:cs="Arial"/>
          <w:b/>
          <w:bCs/>
          <w:sz w:val="28"/>
          <w:szCs w:val="24"/>
        </w:rPr>
        <w:t>R1-2005875</w:t>
      </w:r>
      <w:bookmarkStart w:id="0" w:name="_GoBack"/>
      <w:bookmarkEnd w:id="0"/>
    </w:p>
    <w:p w14:paraId="1C206E17" w14:textId="200C0995" w:rsidR="004F13DA" w:rsidRPr="002E16F4" w:rsidRDefault="00926446" w:rsidP="004F13D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1</w:t>
      </w:r>
      <w:r w:rsidR="00FF162A">
        <w:rPr>
          <w:rFonts w:ascii="Arial" w:eastAsia="MS Mincho" w:hAnsi="Arial" w:cs="Arial"/>
          <w:b/>
          <w:bCs/>
          <w:sz w:val="28"/>
          <w:szCs w:val="24"/>
          <w:lang w:eastAsia="ja-JP"/>
        </w:rPr>
        <w:t>7</w:t>
      </w:r>
      <w:r w:rsidR="004F13DA">
        <w:rPr>
          <w:rFonts w:ascii="Arial" w:eastAsia="MS Mincho" w:hAnsi="Arial" w:cs="Arial"/>
          <w:b/>
          <w:bCs/>
          <w:sz w:val="28"/>
          <w:szCs w:val="24"/>
          <w:vertAlign w:val="superscript"/>
          <w:lang w:eastAsia="ja-JP"/>
        </w:rPr>
        <w:t>th</w:t>
      </w:r>
      <w:r w:rsidR="004F13DA" w:rsidRPr="00DB6F5F">
        <w:rPr>
          <w:rFonts w:ascii="Arial" w:eastAsia="MS Mincho" w:hAnsi="Arial" w:cs="Arial"/>
          <w:b/>
          <w:bCs/>
          <w:sz w:val="28"/>
          <w:szCs w:val="24"/>
          <w:lang w:eastAsia="ja-JP"/>
        </w:rPr>
        <w:t xml:space="preserve"> </w:t>
      </w:r>
      <w:r w:rsidR="004F13DA">
        <w:rPr>
          <w:rFonts w:ascii="Arial" w:eastAsia="MS Mincho" w:hAnsi="Arial" w:cs="Arial"/>
          <w:b/>
          <w:bCs/>
          <w:sz w:val="28"/>
          <w:szCs w:val="24"/>
          <w:lang w:eastAsia="ja-JP"/>
        </w:rPr>
        <w:t>–</w:t>
      </w:r>
      <w:r w:rsidR="004F13DA" w:rsidRPr="00FB5C96">
        <w:rPr>
          <w:rFonts w:ascii="Arial" w:eastAsia="MS Mincho" w:hAnsi="Arial" w:cs="Arial"/>
          <w:b/>
          <w:bCs/>
          <w:sz w:val="28"/>
          <w:szCs w:val="24"/>
          <w:lang w:eastAsia="ja-JP"/>
        </w:rPr>
        <w:t xml:space="preserve"> </w:t>
      </w:r>
      <w:r w:rsidR="004F13DA">
        <w:rPr>
          <w:rFonts w:ascii="Arial" w:eastAsia="MS Mincho" w:hAnsi="Arial" w:cs="Arial"/>
          <w:b/>
          <w:bCs/>
          <w:sz w:val="28"/>
          <w:szCs w:val="24"/>
          <w:lang w:eastAsia="ja-JP"/>
        </w:rPr>
        <w:t>2</w:t>
      </w:r>
      <w:r w:rsidR="00FF162A">
        <w:rPr>
          <w:rFonts w:ascii="Arial" w:eastAsia="MS Mincho" w:hAnsi="Arial" w:cs="Arial"/>
          <w:b/>
          <w:bCs/>
          <w:sz w:val="28"/>
          <w:szCs w:val="24"/>
          <w:lang w:eastAsia="ja-JP"/>
        </w:rPr>
        <w:t>8</w:t>
      </w:r>
      <w:r w:rsidR="00FF162A">
        <w:rPr>
          <w:rFonts w:ascii="Arial" w:eastAsia="MS Mincho" w:hAnsi="Arial" w:cs="Arial"/>
          <w:b/>
          <w:bCs/>
          <w:sz w:val="28"/>
          <w:szCs w:val="24"/>
          <w:vertAlign w:val="superscript"/>
          <w:lang w:eastAsia="ja-JP"/>
        </w:rPr>
        <w:t>th</w:t>
      </w:r>
      <w:r w:rsidR="004F13DA">
        <w:rPr>
          <w:rFonts w:ascii="Arial" w:eastAsia="MS Mincho" w:hAnsi="Arial" w:cs="Arial"/>
          <w:b/>
          <w:bCs/>
          <w:sz w:val="28"/>
          <w:szCs w:val="24"/>
          <w:lang w:eastAsia="ja-JP"/>
        </w:rPr>
        <w:t xml:space="preserve"> </w:t>
      </w:r>
      <w:r w:rsidR="00B5245B">
        <w:rPr>
          <w:rFonts w:ascii="Arial" w:eastAsia="MS Mincho" w:hAnsi="Arial" w:cs="Arial"/>
          <w:b/>
          <w:bCs/>
          <w:sz w:val="28"/>
          <w:szCs w:val="24"/>
          <w:lang w:eastAsia="ja-JP"/>
        </w:rPr>
        <w:t>August,</w:t>
      </w:r>
      <w:r w:rsidR="004F13DA">
        <w:rPr>
          <w:rFonts w:ascii="Arial" w:eastAsia="MS Mincho" w:hAnsi="Arial" w:cs="Arial"/>
          <w:b/>
          <w:bCs/>
          <w:sz w:val="28"/>
          <w:szCs w:val="24"/>
          <w:lang w:eastAsia="ja-JP"/>
        </w:rPr>
        <w:t xml:space="preserve"> 20</w:t>
      </w:r>
      <w:r w:rsidR="00FF162A">
        <w:rPr>
          <w:rFonts w:ascii="Arial" w:eastAsia="MS Mincho" w:hAnsi="Arial" w:cs="Arial"/>
          <w:b/>
          <w:bCs/>
          <w:sz w:val="28"/>
          <w:szCs w:val="24"/>
          <w:lang w:eastAsia="ja-JP"/>
        </w:rPr>
        <w:t>20</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3F9DD2A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F23AF" w:rsidRPr="007F23AF">
        <w:rPr>
          <w:rFonts w:ascii="Arial" w:eastAsia="Malgun Gothic" w:hAnsi="Arial" w:cs="Arial"/>
          <w:b/>
          <w:sz w:val="24"/>
          <w:lang w:val="en-US" w:eastAsia="ko-KR"/>
        </w:rPr>
        <w:t xml:space="preserve">On </w:t>
      </w:r>
      <w:r w:rsidR="00DE24F4">
        <w:rPr>
          <w:rFonts w:ascii="Arial" w:eastAsia="Malgun Gothic" w:hAnsi="Arial" w:cs="Arial"/>
          <w:b/>
          <w:sz w:val="24"/>
          <w:lang w:val="en-US" w:eastAsia="ko-KR"/>
        </w:rPr>
        <w:t>HARQ</w:t>
      </w:r>
      <w:r w:rsidR="00FC70BF" w:rsidRPr="00FC70BF">
        <w:rPr>
          <w:rFonts w:ascii="Arial" w:eastAsia="Malgun Gothic" w:hAnsi="Arial" w:cs="Arial"/>
          <w:b/>
          <w:sz w:val="24"/>
          <w:lang w:val="en-US" w:eastAsia="ko-KR"/>
        </w:rPr>
        <w:t xml:space="preserve"> enhancements</w:t>
      </w:r>
      <w:r w:rsidR="00D2228D">
        <w:rPr>
          <w:rFonts w:ascii="Arial" w:eastAsia="Malgun Gothic" w:hAnsi="Arial" w:cs="Arial"/>
          <w:b/>
          <w:sz w:val="24"/>
          <w:lang w:val="en-US" w:eastAsia="ko-KR"/>
        </w:rPr>
        <w:t xml:space="preserve"> for NTN</w:t>
      </w:r>
    </w:p>
    <w:p w14:paraId="3596330A" w14:textId="3C8A6A3D"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w:t>
      </w:r>
      <w:r w:rsidR="00DC7CA3">
        <w:rPr>
          <w:rFonts w:ascii="Arial" w:hAnsi="Arial" w:cs="Arial"/>
          <w:b/>
          <w:sz w:val="24"/>
          <w:lang w:val="en-US"/>
        </w:rPr>
        <w:t>3</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53CB54F7"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5422FB" w:rsidRPr="000B4ADF">
        <w:rPr>
          <w:sz w:val="22"/>
          <w:szCs w:val="22"/>
          <w:lang w:val="en-US" w:eastAsia="ko-KR"/>
        </w:rPr>
        <w:t>WI</w:t>
      </w:r>
      <w:r w:rsidR="0024648C" w:rsidRPr="000B4ADF">
        <w:rPr>
          <w:sz w:val="22"/>
          <w:szCs w:val="22"/>
          <w:lang w:val="en-US" w:eastAsia="ko-KR"/>
        </w:rPr>
        <w:t xml:space="preserve"> aims to specify the enhancements identified for NR NTN especially LEO and GEO with implicit compatibility to support HAPS (high altitude platform station) and ATG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FDD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NOTE: This does not imply that TDD cannot be used for relevant scenarios e.g. HAPS, ATG</w:t>
      </w:r>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UEs with GNSS capabilities are assumed.</w:t>
      </w:r>
    </w:p>
    <w:p w14:paraId="65B9244B" w14:textId="6D61F82B"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According to the</w:t>
      </w:r>
      <w:r w:rsidR="00F21AEC">
        <w:rPr>
          <w:sz w:val="22"/>
          <w:szCs w:val="22"/>
          <w:lang w:eastAsia="ko-KR"/>
        </w:rPr>
        <w:t xml:space="preserve"> </w:t>
      </w:r>
      <w:r w:rsidR="00F21AEC" w:rsidRPr="00F21AEC">
        <w:rPr>
          <w:sz w:val="22"/>
          <w:szCs w:val="22"/>
          <w:lang w:eastAsia="ko-KR"/>
        </w:rPr>
        <w:t xml:space="preserve">3GPP TR 38.821 </w:t>
      </w:r>
      <w:r w:rsidRPr="000B4ADF">
        <w:rPr>
          <w:sz w:val="22"/>
          <w:szCs w:val="22"/>
          <w:lang w:eastAsia="ko-KR"/>
        </w:rPr>
        <w:t>[2] there are some issues to support NTN with 5G NR due to long propagation delays, large Doppler effects, and moving cells</w:t>
      </w:r>
      <w:r w:rsidR="001E181F" w:rsidRPr="000B4ADF">
        <w:rPr>
          <w:sz w:val="22"/>
          <w:szCs w:val="22"/>
          <w:lang w:eastAsia="ko-KR"/>
        </w:rPr>
        <w:t xml:space="preserve">. </w:t>
      </w:r>
      <w:r w:rsidR="005A75DF">
        <w:rPr>
          <w:sz w:val="22"/>
          <w:szCs w:val="22"/>
          <w:lang w:eastAsia="ko-KR"/>
        </w:rPr>
        <w:t xml:space="preserve">Multiple features of NR specification should be enhanced to support NTN including </w:t>
      </w:r>
      <w:r w:rsidR="004C039E">
        <w:rPr>
          <w:sz w:val="22"/>
          <w:szCs w:val="22"/>
          <w:lang w:eastAsia="ko-KR"/>
        </w:rPr>
        <w:t>HARQ</w:t>
      </w:r>
      <w:r w:rsidR="005A75DF">
        <w:rPr>
          <w:sz w:val="22"/>
          <w:szCs w:val="22"/>
          <w:lang w:eastAsia="ko-KR"/>
        </w:rPr>
        <w:t xml:space="preserve">. </w:t>
      </w:r>
      <w:r w:rsidR="00CF1A10">
        <w:rPr>
          <w:sz w:val="22"/>
          <w:szCs w:val="22"/>
          <w:lang w:eastAsia="ko-KR"/>
        </w:rPr>
        <w:t xml:space="preserve">During the study item phase two main aspects for HARQ were discussed: disabling of HARQ for NR NTN and increased number of HARQ processes [2]. </w:t>
      </w:r>
      <w:r w:rsidR="005A75DF">
        <w:rPr>
          <w:sz w:val="22"/>
          <w:szCs w:val="22"/>
          <w:lang w:eastAsia="ko-KR"/>
        </w:rPr>
        <w:t xml:space="preserve">In this contribution </w:t>
      </w:r>
      <w:r w:rsidR="004C039E">
        <w:rPr>
          <w:sz w:val="22"/>
          <w:szCs w:val="22"/>
          <w:lang w:eastAsia="ko-KR"/>
        </w:rPr>
        <w:t>HARQ</w:t>
      </w:r>
      <w:r w:rsidR="005A75DF" w:rsidRPr="005A75DF">
        <w:rPr>
          <w:sz w:val="22"/>
          <w:szCs w:val="22"/>
          <w:lang w:eastAsia="ko-KR"/>
        </w:rPr>
        <w:t xml:space="preserve"> enhancements for N</w:t>
      </w:r>
      <w:r w:rsidR="005A75DF">
        <w:rPr>
          <w:sz w:val="22"/>
          <w:szCs w:val="22"/>
          <w:lang w:eastAsia="ko-KR"/>
        </w:rPr>
        <w:t>R to support NTN are discussed</w:t>
      </w:r>
      <w:r w:rsidR="003965BD" w:rsidRPr="003965BD">
        <w:rPr>
          <w:sz w:val="22"/>
          <w:szCs w:val="22"/>
          <w:lang w:val="en-US" w:eastAsia="ko-KR"/>
        </w:rPr>
        <w:t xml:space="preserve"> </w:t>
      </w:r>
      <w:r w:rsidR="003965BD">
        <w:rPr>
          <w:sz w:val="22"/>
          <w:szCs w:val="22"/>
          <w:lang w:val="en-US" w:eastAsia="ko-KR"/>
        </w:rPr>
        <w:t>including HARQ disabling and increased number of parallel HARQ processes</w:t>
      </w:r>
      <w:r w:rsidR="005A75DF">
        <w:rPr>
          <w:sz w:val="22"/>
          <w:szCs w:val="22"/>
          <w:lang w:eastAsia="ko-KR"/>
        </w:rPr>
        <w:t>.</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1B086776" w14:textId="0FF1A7EC" w:rsidR="00515D54" w:rsidRPr="00515D54" w:rsidRDefault="00515D54" w:rsidP="00515D54">
      <w:pPr>
        <w:pStyle w:val="Heading2"/>
        <w:rPr>
          <w:sz w:val="28"/>
        </w:rPr>
      </w:pPr>
      <w:r w:rsidRPr="00624521">
        <w:rPr>
          <w:sz w:val="28"/>
        </w:rPr>
        <w:t>2.</w:t>
      </w:r>
      <w:r>
        <w:rPr>
          <w:sz w:val="28"/>
        </w:rPr>
        <w:t>1</w:t>
      </w:r>
      <w:r w:rsidRPr="00624521">
        <w:rPr>
          <w:sz w:val="28"/>
        </w:rPr>
        <w:t>.</w:t>
      </w:r>
      <w:r>
        <w:rPr>
          <w:sz w:val="28"/>
        </w:rPr>
        <w:t xml:space="preserve"> </w:t>
      </w:r>
      <w:r w:rsidR="00A87A19">
        <w:rPr>
          <w:sz w:val="28"/>
        </w:rPr>
        <w:t>Disabling of HARQ</w:t>
      </w:r>
    </w:p>
    <w:p w14:paraId="381BD10C" w14:textId="0C49801E" w:rsidR="003E3C69" w:rsidRDefault="00995CC1" w:rsidP="006851D7">
      <w:pPr>
        <w:jc w:val="both"/>
        <w:rPr>
          <w:sz w:val="22"/>
          <w:szCs w:val="22"/>
        </w:rPr>
      </w:pPr>
      <w:r>
        <w:rPr>
          <w:sz w:val="22"/>
          <w:szCs w:val="22"/>
        </w:rPr>
        <w:t xml:space="preserve">Due to large propagation delay observed in NTN it is challenging to </w:t>
      </w:r>
      <w:r w:rsidR="00FF580A">
        <w:rPr>
          <w:sz w:val="22"/>
          <w:szCs w:val="22"/>
        </w:rPr>
        <w:t xml:space="preserve">support HARQ feedback and HARQ retransmission </w:t>
      </w:r>
      <w:r w:rsidR="00FE422B">
        <w:rPr>
          <w:sz w:val="22"/>
          <w:szCs w:val="22"/>
        </w:rPr>
        <w:t>since</w:t>
      </w:r>
      <w:r w:rsidR="00FF580A">
        <w:rPr>
          <w:sz w:val="22"/>
          <w:szCs w:val="22"/>
        </w:rPr>
        <w:t xml:space="preserve"> large number of parallel HARQ processes</w:t>
      </w:r>
      <w:r w:rsidR="00FE422B">
        <w:rPr>
          <w:sz w:val="22"/>
          <w:szCs w:val="22"/>
        </w:rPr>
        <w:t xml:space="preserve"> is required</w:t>
      </w:r>
      <w:r w:rsidR="00740B7E">
        <w:rPr>
          <w:sz w:val="22"/>
          <w:szCs w:val="22"/>
        </w:rPr>
        <w:t xml:space="preserve">. </w:t>
      </w:r>
      <w:r w:rsidR="00985A1F">
        <w:rPr>
          <w:sz w:val="22"/>
          <w:szCs w:val="22"/>
        </w:rPr>
        <w:t xml:space="preserve">For example, </w:t>
      </w:r>
      <w:r w:rsidR="00BE5E5D">
        <w:rPr>
          <w:sz w:val="22"/>
          <w:szCs w:val="22"/>
        </w:rPr>
        <w:t>600 parallel HARQ processes are required in GEO scenario with 15 kHz subcarrier spacing according to [3]</w:t>
      </w:r>
      <w:r w:rsidR="00985A1F">
        <w:rPr>
          <w:sz w:val="22"/>
          <w:szCs w:val="22"/>
        </w:rPr>
        <w:t xml:space="preserve">. </w:t>
      </w:r>
      <w:r w:rsidR="00740B7E">
        <w:rPr>
          <w:sz w:val="22"/>
          <w:szCs w:val="22"/>
        </w:rPr>
        <w:t xml:space="preserve">In terrestrial networks transmission with </w:t>
      </w:r>
      <w:r w:rsidR="00EA4D29">
        <w:rPr>
          <w:sz w:val="22"/>
          <w:szCs w:val="22"/>
        </w:rPr>
        <w:t>&gt;</w:t>
      </w:r>
      <w:r w:rsidR="00740B7E">
        <w:rPr>
          <w:sz w:val="22"/>
          <w:szCs w:val="22"/>
        </w:rPr>
        <w:t>10% target BLER</w:t>
      </w:r>
      <w:r w:rsidR="00FE422B">
        <w:rPr>
          <w:sz w:val="22"/>
          <w:szCs w:val="22"/>
        </w:rPr>
        <w:t xml:space="preserve"> is</w:t>
      </w:r>
      <w:r w:rsidR="00740B7E">
        <w:rPr>
          <w:sz w:val="22"/>
          <w:szCs w:val="22"/>
        </w:rPr>
        <w:t xml:space="preserve"> used in conjunction with HARQ operation to support robust transmission with high spectral efficiency. In NTN this approach might not be possible for some scenarios (e.g. GEO and MEO) due to unacceptable latency introduced by multiple HARQ retransmissions. </w:t>
      </w:r>
      <w:r w:rsidR="003E3C69">
        <w:rPr>
          <w:sz w:val="22"/>
          <w:szCs w:val="22"/>
        </w:rPr>
        <w:t xml:space="preserve">Thus, HARQ operation is not needed for some NTN deployments and can be disabled. </w:t>
      </w:r>
    </w:p>
    <w:p w14:paraId="6CB4A22A" w14:textId="48C988A5" w:rsidR="00A22E45" w:rsidRDefault="003E3C69" w:rsidP="006851D7">
      <w:pPr>
        <w:jc w:val="both"/>
        <w:rPr>
          <w:sz w:val="22"/>
          <w:szCs w:val="22"/>
        </w:rPr>
      </w:pPr>
      <w:r>
        <w:rPr>
          <w:sz w:val="22"/>
          <w:szCs w:val="22"/>
        </w:rPr>
        <w:t xml:space="preserve">HARQ operation is well integrated to the NR specification, some NR features rely on the HARQ feedback. For example, timing of MAC CE action is </w:t>
      </w:r>
      <w:r w:rsidR="00DD1E4D">
        <w:rPr>
          <w:sz w:val="22"/>
          <w:szCs w:val="22"/>
        </w:rPr>
        <w:t>based on the time instance of the HARQ-ACK transmission for the received PDSCH with MAC CE. Thus, the assumption for the NR operation are aligned at the UE and the gNB with low probability of misalignment.</w:t>
      </w:r>
      <w:r w:rsidR="003443F2">
        <w:rPr>
          <w:sz w:val="22"/>
          <w:szCs w:val="22"/>
        </w:rPr>
        <w:t xml:space="preserve"> </w:t>
      </w:r>
      <w:r w:rsidR="0040264D">
        <w:rPr>
          <w:sz w:val="22"/>
          <w:szCs w:val="22"/>
        </w:rPr>
        <w:t xml:space="preserve">Therefore, it is necessary to maintain the HARQ feedback functionality for some transmissions. </w:t>
      </w:r>
      <w:r w:rsidR="00C3040C">
        <w:rPr>
          <w:sz w:val="22"/>
          <w:szCs w:val="22"/>
        </w:rPr>
        <w:t>It can be achieved by enabling the HARQ feedback for a subset of HARQ processes, where the subset of HARQ processes is configured by RRC.</w:t>
      </w:r>
      <w:r w:rsidR="008E2633">
        <w:rPr>
          <w:sz w:val="22"/>
          <w:szCs w:val="22"/>
        </w:rPr>
        <w:t xml:space="preserve"> </w:t>
      </w:r>
    </w:p>
    <w:p w14:paraId="72682CEC" w14:textId="41A150B6" w:rsidR="001A311F" w:rsidRDefault="00FA24C2" w:rsidP="006851D7">
      <w:pPr>
        <w:jc w:val="both"/>
        <w:rPr>
          <w:sz w:val="22"/>
          <w:szCs w:val="22"/>
        </w:rPr>
      </w:pPr>
      <w:r>
        <w:rPr>
          <w:sz w:val="22"/>
          <w:szCs w:val="22"/>
        </w:rPr>
        <w:t xml:space="preserve">Even though the HARQ feedback is disabled for a HARQ process, it is still possible that gNB </w:t>
      </w:r>
      <w:r w:rsidR="009D3133">
        <w:rPr>
          <w:sz w:val="22"/>
          <w:szCs w:val="22"/>
        </w:rPr>
        <w:t>provides/requests retransmission of the transport block (TB) corresponding to th</w:t>
      </w:r>
      <w:r w:rsidR="005D4F8A">
        <w:rPr>
          <w:sz w:val="22"/>
          <w:szCs w:val="22"/>
        </w:rPr>
        <w:t>at</w:t>
      </w:r>
      <w:r w:rsidR="009D3133">
        <w:rPr>
          <w:sz w:val="22"/>
          <w:szCs w:val="22"/>
        </w:rPr>
        <w:t xml:space="preserve"> HARQ process in order to increase the probability </w:t>
      </w:r>
      <w:r w:rsidR="009D3133">
        <w:rPr>
          <w:sz w:val="22"/>
          <w:szCs w:val="22"/>
        </w:rPr>
        <w:lastRenderedPageBreak/>
        <w:t xml:space="preserve">of successful reception for this TB. </w:t>
      </w:r>
      <w:r w:rsidR="0077137D">
        <w:rPr>
          <w:sz w:val="22"/>
          <w:szCs w:val="22"/>
        </w:rPr>
        <w:t>Such operation is supported in the current NR specification</w:t>
      </w:r>
      <w:r w:rsidR="002C0BBD">
        <w:rPr>
          <w:sz w:val="22"/>
          <w:szCs w:val="22"/>
        </w:rPr>
        <w:t xml:space="preserve"> with enabled HARQ feedback</w:t>
      </w:r>
      <w:r w:rsidR="0077137D">
        <w:rPr>
          <w:sz w:val="22"/>
          <w:szCs w:val="22"/>
        </w:rPr>
        <w:t xml:space="preserve"> and</w:t>
      </w:r>
      <w:r w:rsidR="000A3749">
        <w:rPr>
          <w:sz w:val="22"/>
          <w:szCs w:val="22"/>
        </w:rPr>
        <w:t xml:space="preserve">, in our view, should be supported for </w:t>
      </w:r>
      <w:r w:rsidR="0077137D">
        <w:rPr>
          <w:sz w:val="22"/>
          <w:szCs w:val="22"/>
        </w:rPr>
        <w:t>NTN</w:t>
      </w:r>
      <w:r w:rsidR="002C0BBD">
        <w:rPr>
          <w:sz w:val="22"/>
          <w:szCs w:val="22"/>
        </w:rPr>
        <w:t xml:space="preserve"> with enabled or disabled HARQ feedback</w:t>
      </w:r>
      <w:r w:rsidR="0077137D">
        <w:rPr>
          <w:sz w:val="22"/>
          <w:szCs w:val="22"/>
        </w:rPr>
        <w:t xml:space="preserve">. </w:t>
      </w:r>
      <w:r w:rsidR="00DF0B6F">
        <w:rPr>
          <w:sz w:val="22"/>
          <w:szCs w:val="22"/>
        </w:rPr>
        <w:t>Since there is no HARQ feedback supported for PUSCH transmission, no changes to HARQ operation for UL is required for NTN.</w:t>
      </w:r>
    </w:p>
    <w:p w14:paraId="3517E361" w14:textId="1B5FFBCE" w:rsidR="00EA111E" w:rsidRPr="00C55F9D" w:rsidRDefault="00C55F9D" w:rsidP="006851D7">
      <w:pPr>
        <w:jc w:val="both"/>
        <w:rPr>
          <w:i/>
          <w:iCs/>
          <w:sz w:val="22"/>
          <w:szCs w:val="22"/>
        </w:rPr>
      </w:pPr>
      <w:r w:rsidRPr="00C55F9D">
        <w:rPr>
          <w:b/>
          <w:bCs/>
          <w:i/>
          <w:iCs/>
          <w:sz w:val="22"/>
          <w:szCs w:val="22"/>
        </w:rPr>
        <w:t>Proposal 1</w:t>
      </w:r>
      <w:r w:rsidRPr="00C55F9D">
        <w:rPr>
          <w:sz w:val="22"/>
          <w:szCs w:val="22"/>
        </w:rPr>
        <w:t>:</w:t>
      </w:r>
    </w:p>
    <w:p w14:paraId="4C4BC881" w14:textId="580C0782" w:rsidR="00C55F9D" w:rsidRPr="008E4471" w:rsidRDefault="00C55F9D" w:rsidP="00C55F9D">
      <w:pPr>
        <w:pStyle w:val="ListParagraph"/>
        <w:numPr>
          <w:ilvl w:val="0"/>
          <w:numId w:val="31"/>
        </w:numPr>
        <w:jc w:val="both"/>
      </w:pPr>
      <w:r w:rsidRPr="00C55F9D">
        <w:rPr>
          <w:rFonts w:ascii="Times New Roman" w:hAnsi="Times New Roman"/>
          <w:i/>
          <w:iCs/>
        </w:rPr>
        <w:t>Enabling / disabling of HARQ feedback for DL transmission should be configurable per HARQ process</w:t>
      </w:r>
    </w:p>
    <w:p w14:paraId="6088E05D" w14:textId="3D714124" w:rsidR="008E4471" w:rsidRDefault="0001595F" w:rsidP="00DF0B6F">
      <w:pPr>
        <w:pStyle w:val="ListParagraph"/>
        <w:numPr>
          <w:ilvl w:val="1"/>
          <w:numId w:val="31"/>
        </w:numPr>
        <w:spacing w:before="240"/>
        <w:jc w:val="both"/>
        <w:rPr>
          <w:rFonts w:ascii="Times New Roman" w:hAnsi="Times New Roman"/>
          <w:i/>
          <w:iCs/>
        </w:rPr>
      </w:pPr>
      <w:r w:rsidRPr="0001595F">
        <w:rPr>
          <w:rFonts w:ascii="Times New Roman" w:hAnsi="Times New Roman"/>
          <w:i/>
          <w:iCs/>
        </w:rPr>
        <w:t xml:space="preserve">UE may expect </w:t>
      </w:r>
      <w:r>
        <w:rPr>
          <w:rFonts w:ascii="Times New Roman" w:hAnsi="Times New Roman"/>
          <w:i/>
          <w:iCs/>
        </w:rPr>
        <w:t>reception of</w:t>
      </w:r>
      <w:r w:rsidRPr="0001595F">
        <w:rPr>
          <w:rFonts w:ascii="Times New Roman" w:hAnsi="Times New Roman"/>
          <w:i/>
          <w:iCs/>
        </w:rPr>
        <w:t xml:space="preserve"> retransmission for HARQ process with enabled </w:t>
      </w:r>
      <w:r w:rsidR="00EA6D38">
        <w:rPr>
          <w:rFonts w:ascii="Times New Roman" w:hAnsi="Times New Roman"/>
          <w:i/>
          <w:iCs/>
        </w:rPr>
        <w:t>or</w:t>
      </w:r>
      <w:r w:rsidRPr="0001595F">
        <w:rPr>
          <w:rFonts w:ascii="Times New Roman" w:hAnsi="Times New Roman"/>
          <w:i/>
          <w:iCs/>
        </w:rPr>
        <w:t xml:space="preserve"> disabled HARQ feedback</w:t>
      </w:r>
    </w:p>
    <w:p w14:paraId="264BE2EC" w14:textId="02F0F68C" w:rsidR="00BE7F7C" w:rsidRPr="00515D54" w:rsidRDefault="00BE7F7C" w:rsidP="00BE7F7C">
      <w:pPr>
        <w:pStyle w:val="Heading2"/>
        <w:rPr>
          <w:sz w:val="28"/>
        </w:rPr>
      </w:pPr>
      <w:r w:rsidRPr="00624521">
        <w:rPr>
          <w:sz w:val="28"/>
        </w:rPr>
        <w:t>2.</w:t>
      </w:r>
      <w:r w:rsidR="00417909">
        <w:rPr>
          <w:sz w:val="28"/>
        </w:rPr>
        <w:t>2</w:t>
      </w:r>
      <w:r w:rsidRPr="00624521">
        <w:rPr>
          <w:sz w:val="28"/>
        </w:rPr>
        <w:t>.</w:t>
      </w:r>
      <w:r>
        <w:rPr>
          <w:sz w:val="28"/>
        </w:rPr>
        <w:t xml:space="preserve"> </w:t>
      </w:r>
      <w:r w:rsidR="00066D02">
        <w:rPr>
          <w:sz w:val="28"/>
        </w:rPr>
        <w:t>Increased number of HARQ processes</w:t>
      </w:r>
    </w:p>
    <w:p w14:paraId="29EF5366" w14:textId="16E59D0E" w:rsidR="00503AE4" w:rsidRDefault="00704E2E" w:rsidP="00503AE4">
      <w:pPr>
        <w:spacing w:before="240"/>
        <w:jc w:val="both"/>
        <w:rPr>
          <w:sz w:val="22"/>
          <w:szCs w:val="22"/>
        </w:rPr>
      </w:pPr>
      <w:r w:rsidRPr="00704E2E">
        <w:rPr>
          <w:sz w:val="22"/>
          <w:szCs w:val="22"/>
        </w:rPr>
        <w:t xml:space="preserve">For NTN deployments </w:t>
      </w:r>
      <w:r>
        <w:rPr>
          <w:sz w:val="22"/>
          <w:szCs w:val="22"/>
        </w:rPr>
        <w:t xml:space="preserve">with LEO satellite constellations HARQ feedback and HARQ retransmission with larger number of HARQ processes to cover RTT is feasible to implement, the latency for operation with multiple HARQ retransmissions </w:t>
      </w:r>
      <w:r w:rsidR="009E1095">
        <w:rPr>
          <w:sz w:val="22"/>
          <w:szCs w:val="22"/>
        </w:rPr>
        <w:t>and</w:t>
      </w:r>
      <w:r>
        <w:rPr>
          <w:sz w:val="22"/>
          <w:szCs w:val="22"/>
        </w:rPr>
        <w:t xml:space="preserve"> HARQ feedback is acceptable for LEO. Hence, increased number of HARQ processes can be considered in order to enable HARQ operation for all transmissions </w:t>
      </w:r>
      <w:r w:rsidR="00323551">
        <w:rPr>
          <w:sz w:val="22"/>
          <w:szCs w:val="22"/>
        </w:rPr>
        <w:t>in</w:t>
      </w:r>
      <w:r>
        <w:rPr>
          <w:sz w:val="22"/>
          <w:szCs w:val="22"/>
        </w:rPr>
        <w:t xml:space="preserve"> LEO deployments. </w:t>
      </w:r>
      <w:r w:rsidR="00EA4D29">
        <w:rPr>
          <w:sz w:val="22"/>
          <w:szCs w:val="22"/>
        </w:rPr>
        <w:t xml:space="preserve">Enabling of HARQ operation for all transmissions may have several advantages. Higher </w:t>
      </w:r>
      <w:r w:rsidR="00AC0B27">
        <w:rPr>
          <w:sz w:val="22"/>
          <w:szCs w:val="22"/>
        </w:rPr>
        <w:t xml:space="preserve">target BLER (&gt;10%) can be used in conjunction with HARQ to improve spectral efficiency. </w:t>
      </w:r>
      <w:r w:rsidR="001B491D">
        <w:rPr>
          <w:sz w:val="22"/>
          <w:szCs w:val="22"/>
        </w:rPr>
        <w:t>In case of dynamic interference due to traffic with low packet sizes HARQ retransmission</w:t>
      </w:r>
      <w:r w:rsidR="006B4DC6">
        <w:rPr>
          <w:sz w:val="22"/>
          <w:szCs w:val="22"/>
        </w:rPr>
        <w:t>s</w:t>
      </w:r>
      <w:r w:rsidR="001B491D">
        <w:rPr>
          <w:sz w:val="22"/>
          <w:szCs w:val="22"/>
        </w:rPr>
        <w:t xml:space="preserve"> may help to </w:t>
      </w:r>
      <w:r w:rsidR="006B4DC6">
        <w:rPr>
          <w:sz w:val="22"/>
          <w:szCs w:val="22"/>
        </w:rPr>
        <w:t>successfully receive</w:t>
      </w:r>
      <w:r w:rsidR="001B491D">
        <w:rPr>
          <w:sz w:val="22"/>
          <w:szCs w:val="22"/>
        </w:rPr>
        <w:t xml:space="preserve"> </w:t>
      </w:r>
      <w:r w:rsidR="006B4DC6">
        <w:rPr>
          <w:sz w:val="22"/>
          <w:szCs w:val="22"/>
        </w:rPr>
        <w:t>TB</w:t>
      </w:r>
      <w:r w:rsidR="001B491D">
        <w:rPr>
          <w:sz w:val="22"/>
          <w:szCs w:val="22"/>
        </w:rPr>
        <w:t xml:space="preserve"> with MCS mismatch</w:t>
      </w:r>
      <w:r w:rsidR="006B4DC6">
        <w:rPr>
          <w:sz w:val="22"/>
          <w:szCs w:val="22"/>
        </w:rPr>
        <w:t xml:space="preserve"> due to additional interference</w:t>
      </w:r>
      <w:r w:rsidR="00FF5BF1">
        <w:rPr>
          <w:sz w:val="22"/>
          <w:szCs w:val="22"/>
        </w:rPr>
        <w:t xml:space="preserve"> source enabled</w:t>
      </w:r>
      <w:r w:rsidR="006B4DC6">
        <w:rPr>
          <w:sz w:val="22"/>
          <w:szCs w:val="22"/>
        </w:rPr>
        <w:t xml:space="preserve">. In case interference source is tuned off, the actual </w:t>
      </w:r>
      <w:r w:rsidR="002878DD">
        <w:rPr>
          <w:sz w:val="22"/>
          <w:szCs w:val="22"/>
        </w:rPr>
        <w:t xml:space="preserve">BLER corresponding to the SINR for the TB is lower comparing to &gt;10% target BLER which leads to successful reception of the TB with higher TBS comparing to the case where lower target BLER is used. </w:t>
      </w:r>
    </w:p>
    <w:p w14:paraId="153FC47C" w14:textId="04DBC3ED" w:rsidR="003926C2" w:rsidRDefault="007364B0" w:rsidP="00503AE4">
      <w:pPr>
        <w:spacing w:before="240"/>
        <w:jc w:val="both"/>
        <w:rPr>
          <w:sz w:val="22"/>
          <w:szCs w:val="22"/>
        </w:rPr>
      </w:pPr>
      <w:r>
        <w:rPr>
          <w:sz w:val="22"/>
          <w:szCs w:val="22"/>
        </w:rPr>
        <w:t>There are some negative aspects related to support for increased number of parallel HARQ processes</w:t>
      </w:r>
      <w:r w:rsidR="003926C2">
        <w:rPr>
          <w:sz w:val="22"/>
          <w:szCs w:val="22"/>
        </w:rPr>
        <w:t xml:space="preserve"> including larger number of bits for HARQ process ID indication in DCI and increased soft buffer size. There are some solutions proposed in [2] which allow to increase the number of HARQ without increased number of DCI bits. For example, HARQ process ID may be determined based on the index of the slot where the corresponding TB is transmitted. According to [3] 50</w:t>
      </w:r>
      <w:r w:rsidR="00711BF0">
        <w:rPr>
          <w:sz w:val="22"/>
          <w:szCs w:val="22"/>
        </w:rPr>
        <w:t>, 100, 200, 400</w:t>
      </w:r>
      <w:r w:rsidR="003926C2">
        <w:rPr>
          <w:sz w:val="22"/>
          <w:szCs w:val="22"/>
        </w:rPr>
        <w:t xml:space="preserve"> HARQ processes are required in order to cover the RTT for LEO NTN deployments with 15</w:t>
      </w:r>
      <w:r w:rsidR="00711BF0">
        <w:rPr>
          <w:sz w:val="22"/>
          <w:szCs w:val="22"/>
        </w:rPr>
        <w:t>, 30, 60, 120</w:t>
      </w:r>
      <w:r w:rsidR="003926C2">
        <w:rPr>
          <w:sz w:val="22"/>
          <w:szCs w:val="22"/>
        </w:rPr>
        <w:t xml:space="preserve"> kHz subcarrier spacing</w:t>
      </w:r>
      <w:r w:rsidR="00711BF0">
        <w:rPr>
          <w:sz w:val="22"/>
          <w:szCs w:val="22"/>
        </w:rPr>
        <w:t xml:space="preserve"> respectively. </w:t>
      </w:r>
      <w:r w:rsidR="00E91AEB">
        <w:rPr>
          <w:sz w:val="22"/>
          <w:szCs w:val="22"/>
        </w:rPr>
        <w:t xml:space="preserve">It may be challenging to support soft buffer size for such large number of HARQ processes. Therefore, additional constraints on maximum TBS or maximum total TBS across all parallel HARQ processes with enabled HARQ operation should be discussed for increased number of HARQ processes. </w:t>
      </w:r>
    </w:p>
    <w:p w14:paraId="248AA3C5" w14:textId="48586929" w:rsidR="00E91AEB" w:rsidRDefault="00E91AEB" w:rsidP="00503AE4">
      <w:pPr>
        <w:spacing w:before="240"/>
        <w:jc w:val="both"/>
        <w:rPr>
          <w:sz w:val="22"/>
          <w:szCs w:val="22"/>
        </w:rPr>
      </w:pPr>
      <w:r w:rsidRPr="00E91AEB">
        <w:rPr>
          <w:b/>
          <w:bCs/>
          <w:i/>
          <w:iCs/>
          <w:sz w:val="22"/>
          <w:szCs w:val="22"/>
        </w:rPr>
        <w:t>Proposal 2</w:t>
      </w:r>
      <w:r>
        <w:rPr>
          <w:sz w:val="22"/>
          <w:szCs w:val="22"/>
        </w:rPr>
        <w:t xml:space="preserve">: </w:t>
      </w:r>
    </w:p>
    <w:p w14:paraId="02C72AEE" w14:textId="0342B283" w:rsidR="00E91AEB" w:rsidRPr="00723055" w:rsidRDefault="00E91AEB" w:rsidP="00E91AEB">
      <w:pPr>
        <w:pStyle w:val="ListParagraph"/>
        <w:numPr>
          <w:ilvl w:val="0"/>
          <w:numId w:val="31"/>
        </w:numPr>
        <w:spacing w:before="240"/>
        <w:jc w:val="both"/>
        <w:rPr>
          <w:rFonts w:ascii="Times New Roman" w:hAnsi="Times New Roman"/>
          <w:i/>
          <w:iCs/>
        </w:rPr>
      </w:pPr>
      <w:r w:rsidRPr="00723055">
        <w:rPr>
          <w:rFonts w:ascii="Times New Roman" w:hAnsi="Times New Roman"/>
          <w:i/>
          <w:iCs/>
        </w:rPr>
        <w:t xml:space="preserve">If more than 16 parallel HARQ processes are supported for NTN, </w:t>
      </w:r>
    </w:p>
    <w:p w14:paraId="28F46F84" w14:textId="77777777" w:rsidR="00CD01DC" w:rsidRPr="00723055" w:rsidRDefault="00E91AEB" w:rsidP="00E91AEB">
      <w:pPr>
        <w:pStyle w:val="ListParagraph"/>
        <w:numPr>
          <w:ilvl w:val="1"/>
          <w:numId w:val="31"/>
        </w:numPr>
        <w:spacing w:before="240"/>
        <w:jc w:val="both"/>
        <w:rPr>
          <w:rFonts w:ascii="Times New Roman" w:hAnsi="Times New Roman"/>
          <w:i/>
          <w:iCs/>
        </w:rPr>
      </w:pPr>
      <w:r w:rsidRPr="00723055">
        <w:rPr>
          <w:rFonts w:ascii="Times New Roman" w:hAnsi="Times New Roman"/>
          <w:i/>
          <w:iCs/>
        </w:rPr>
        <w:t xml:space="preserve">HARQ process ID is determined based on DCI indication and slot index of </w:t>
      </w:r>
      <w:r w:rsidR="00CD01DC" w:rsidRPr="00723055">
        <w:rPr>
          <w:rFonts w:ascii="Times New Roman" w:hAnsi="Times New Roman"/>
          <w:i/>
          <w:iCs/>
        </w:rPr>
        <w:t>the corresponding transmission</w:t>
      </w:r>
    </w:p>
    <w:p w14:paraId="30C70DE7" w14:textId="4466DC11" w:rsidR="00E91AEB" w:rsidRPr="00723055" w:rsidRDefault="00E91AEB" w:rsidP="00CD01DC">
      <w:pPr>
        <w:pStyle w:val="ListParagraph"/>
        <w:numPr>
          <w:ilvl w:val="2"/>
          <w:numId w:val="31"/>
        </w:numPr>
        <w:spacing w:before="240"/>
        <w:jc w:val="both"/>
        <w:rPr>
          <w:rFonts w:ascii="Times New Roman" w:hAnsi="Times New Roman"/>
          <w:i/>
          <w:iCs/>
        </w:rPr>
      </w:pPr>
      <w:r w:rsidRPr="00723055">
        <w:rPr>
          <w:rFonts w:ascii="Times New Roman" w:hAnsi="Times New Roman"/>
          <w:i/>
          <w:iCs/>
        </w:rPr>
        <w:t>4 bits are used for HARQ process ID indication in DCI</w:t>
      </w:r>
    </w:p>
    <w:p w14:paraId="39154C19" w14:textId="2DB970B4" w:rsidR="00CD01DC" w:rsidRPr="00723055" w:rsidRDefault="00CD01DC" w:rsidP="00CD01DC">
      <w:pPr>
        <w:pStyle w:val="ListParagraph"/>
        <w:numPr>
          <w:ilvl w:val="1"/>
          <w:numId w:val="31"/>
        </w:numPr>
        <w:spacing w:before="240"/>
        <w:jc w:val="both"/>
        <w:rPr>
          <w:rFonts w:ascii="Times New Roman" w:hAnsi="Times New Roman"/>
          <w:i/>
          <w:iCs/>
        </w:rPr>
      </w:pPr>
      <w:r w:rsidRPr="00723055">
        <w:rPr>
          <w:rFonts w:ascii="Times New Roman" w:hAnsi="Times New Roman"/>
          <w:i/>
          <w:iCs/>
        </w:rPr>
        <w:t>Additional constraints on maximum TBS for a HARQ process or maximum total TBS across all parallel HARQ processes are discussed</w:t>
      </w:r>
    </w:p>
    <w:p w14:paraId="6ACA37CF" w14:textId="1A9B701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19DE1233" w14:textId="6E80432F" w:rsidR="005260FF" w:rsidRDefault="00E17F6E" w:rsidP="00B36D01">
      <w:pPr>
        <w:jc w:val="both"/>
        <w:rPr>
          <w:sz w:val="22"/>
          <w:szCs w:val="22"/>
        </w:rPr>
      </w:pPr>
      <w:r w:rsidRPr="000B4ADF">
        <w:rPr>
          <w:sz w:val="22"/>
          <w:szCs w:val="22"/>
          <w:lang w:eastAsia="ko-KR"/>
        </w:rPr>
        <w:t xml:space="preserve">In this contribution aspects related to </w:t>
      </w:r>
      <w:r w:rsidR="003918AF">
        <w:rPr>
          <w:sz w:val="22"/>
          <w:szCs w:val="22"/>
          <w:lang w:eastAsia="ko-KR"/>
        </w:rPr>
        <w:t>HARQ operation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are made.</w:t>
      </w:r>
    </w:p>
    <w:p w14:paraId="215BDA4C" w14:textId="77777777" w:rsidR="00A7628A" w:rsidRPr="00C55F9D" w:rsidRDefault="00A7628A" w:rsidP="00A7628A">
      <w:pPr>
        <w:jc w:val="both"/>
        <w:rPr>
          <w:i/>
          <w:iCs/>
          <w:sz w:val="22"/>
          <w:szCs w:val="22"/>
        </w:rPr>
      </w:pPr>
      <w:r w:rsidRPr="00C55F9D">
        <w:rPr>
          <w:b/>
          <w:bCs/>
          <w:i/>
          <w:iCs/>
          <w:sz w:val="22"/>
          <w:szCs w:val="22"/>
        </w:rPr>
        <w:t>Proposal 1</w:t>
      </w:r>
      <w:r w:rsidRPr="00C55F9D">
        <w:rPr>
          <w:sz w:val="22"/>
          <w:szCs w:val="22"/>
        </w:rPr>
        <w:t>:</w:t>
      </w:r>
    </w:p>
    <w:p w14:paraId="5BD26615" w14:textId="77777777" w:rsidR="00A7628A" w:rsidRPr="008E4471" w:rsidRDefault="00A7628A" w:rsidP="00A7628A">
      <w:pPr>
        <w:pStyle w:val="ListParagraph"/>
        <w:numPr>
          <w:ilvl w:val="0"/>
          <w:numId w:val="31"/>
        </w:numPr>
        <w:jc w:val="both"/>
      </w:pPr>
      <w:r w:rsidRPr="00C55F9D">
        <w:rPr>
          <w:rFonts w:ascii="Times New Roman" w:hAnsi="Times New Roman"/>
          <w:i/>
          <w:iCs/>
        </w:rPr>
        <w:t>Enabling / disabling of HARQ feedback for DL transmission should be configurable per HARQ process</w:t>
      </w:r>
    </w:p>
    <w:p w14:paraId="31A3109E" w14:textId="77777777" w:rsidR="00A7628A" w:rsidRDefault="00A7628A" w:rsidP="00A7628A">
      <w:pPr>
        <w:pStyle w:val="ListParagraph"/>
        <w:numPr>
          <w:ilvl w:val="1"/>
          <w:numId w:val="31"/>
        </w:numPr>
        <w:spacing w:before="240"/>
        <w:jc w:val="both"/>
        <w:rPr>
          <w:rFonts w:ascii="Times New Roman" w:hAnsi="Times New Roman"/>
          <w:i/>
          <w:iCs/>
        </w:rPr>
      </w:pPr>
      <w:r w:rsidRPr="0001595F">
        <w:rPr>
          <w:rFonts w:ascii="Times New Roman" w:hAnsi="Times New Roman"/>
          <w:i/>
          <w:iCs/>
        </w:rPr>
        <w:lastRenderedPageBreak/>
        <w:t xml:space="preserve">UE may expect </w:t>
      </w:r>
      <w:r>
        <w:rPr>
          <w:rFonts w:ascii="Times New Roman" w:hAnsi="Times New Roman"/>
          <w:i/>
          <w:iCs/>
        </w:rPr>
        <w:t>reception of</w:t>
      </w:r>
      <w:r w:rsidRPr="0001595F">
        <w:rPr>
          <w:rFonts w:ascii="Times New Roman" w:hAnsi="Times New Roman"/>
          <w:i/>
          <w:iCs/>
        </w:rPr>
        <w:t xml:space="preserve"> retransmission for HARQ process with enabled </w:t>
      </w:r>
      <w:r>
        <w:rPr>
          <w:rFonts w:ascii="Times New Roman" w:hAnsi="Times New Roman"/>
          <w:i/>
          <w:iCs/>
        </w:rPr>
        <w:t>or</w:t>
      </w:r>
      <w:r w:rsidRPr="0001595F">
        <w:rPr>
          <w:rFonts w:ascii="Times New Roman" w:hAnsi="Times New Roman"/>
          <w:i/>
          <w:iCs/>
        </w:rPr>
        <w:t xml:space="preserve"> disabled HARQ feedback</w:t>
      </w:r>
    </w:p>
    <w:p w14:paraId="50733F53" w14:textId="77777777" w:rsidR="00A7628A" w:rsidRDefault="00A7628A" w:rsidP="00A7628A">
      <w:pPr>
        <w:spacing w:before="240"/>
        <w:jc w:val="both"/>
        <w:rPr>
          <w:sz w:val="22"/>
          <w:szCs w:val="22"/>
        </w:rPr>
      </w:pPr>
      <w:r w:rsidRPr="00E91AEB">
        <w:rPr>
          <w:b/>
          <w:bCs/>
          <w:i/>
          <w:iCs/>
          <w:sz w:val="22"/>
          <w:szCs w:val="22"/>
        </w:rPr>
        <w:t>Proposal 2</w:t>
      </w:r>
      <w:r>
        <w:rPr>
          <w:sz w:val="22"/>
          <w:szCs w:val="22"/>
        </w:rPr>
        <w:t xml:space="preserve">: </w:t>
      </w:r>
    </w:p>
    <w:p w14:paraId="70512FE9" w14:textId="77777777" w:rsidR="00A7628A" w:rsidRPr="00723055" w:rsidRDefault="00A7628A" w:rsidP="00A7628A">
      <w:pPr>
        <w:pStyle w:val="ListParagraph"/>
        <w:numPr>
          <w:ilvl w:val="0"/>
          <w:numId w:val="31"/>
        </w:numPr>
        <w:spacing w:before="240"/>
        <w:jc w:val="both"/>
        <w:rPr>
          <w:rFonts w:ascii="Times New Roman" w:hAnsi="Times New Roman"/>
          <w:i/>
          <w:iCs/>
        </w:rPr>
      </w:pPr>
      <w:r w:rsidRPr="00723055">
        <w:rPr>
          <w:rFonts w:ascii="Times New Roman" w:hAnsi="Times New Roman"/>
          <w:i/>
          <w:iCs/>
        </w:rPr>
        <w:t xml:space="preserve">If more than 16 parallel HARQ processes are supported for NTN, </w:t>
      </w:r>
    </w:p>
    <w:p w14:paraId="75A7F8E6" w14:textId="77777777" w:rsidR="00A7628A" w:rsidRPr="00723055" w:rsidRDefault="00A7628A" w:rsidP="00A7628A">
      <w:pPr>
        <w:pStyle w:val="ListParagraph"/>
        <w:numPr>
          <w:ilvl w:val="1"/>
          <w:numId w:val="31"/>
        </w:numPr>
        <w:spacing w:before="240"/>
        <w:jc w:val="both"/>
        <w:rPr>
          <w:rFonts w:ascii="Times New Roman" w:hAnsi="Times New Roman"/>
          <w:i/>
          <w:iCs/>
        </w:rPr>
      </w:pPr>
      <w:r w:rsidRPr="00723055">
        <w:rPr>
          <w:rFonts w:ascii="Times New Roman" w:hAnsi="Times New Roman"/>
          <w:i/>
          <w:iCs/>
        </w:rPr>
        <w:t>HARQ process ID is determined based on DCI indication and slot index of the corresponding transmission</w:t>
      </w:r>
    </w:p>
    <w:p w14:paraId="4804881D" w14:textId="77777777" w:rsidR="00A7628A" w:rsidRPr="00723055" w:rsidRDefault="00A7628A" w:rsidP="00A7628A">
      <w:pPr>
        <w:pStyle w:val="ListParagraph"/>
        <w:numPr>
          <w:ilvl w:val="2"/>
          <w:numId w:val="31"/>
        </w:numPr>
        <w:spacing w:before="240"/>
        <w:jc w:val="both"/>
        <w:rPr>
          <w:rFonts w:ascii="Times New Roman" w:hAnsi="Times New Roman"/>
          <w:i/>
          <w:iCs/>
        </w:rPr>
      </w:pPr>
      <w:r w:rsidRPr="00723055">
        <w:rPr>
          <w:rFonts w:ascii="Times New Roman" w:hAnsi="Times New Roman"/>
          <w:i/>
          <w:iCs/>
        </w:rPr>
        <w:t>4 bits are used for HARQ process ID indication in DCI</w:t>
      </w:r>
    </w:p>
    <w:p w14:paraId="499E5264" w14:textId="323BEC78" w:rsidR="003918AF" w:rsidRPr="00A7628A" w:rsidRDefault="00A7628A" w:rsidP="00B36D01">
      <w:pPr>
        <w:pStyle w:val="ListParagraph"/>
        <w:numPr>
          <w:ilvl w:val="1"/>
          <w:numId w:val="31"/>
        </w:numPr>
        <w:spacing w:before="240"/>
        <w:jc w:val="both"/>
        <w:rPr>
          <w:rFonts w:ascii="Times New Roman" w:hAnsi="Times New Roman"/>
          <w:i/>
          <w:iCs/>
        </w:rPr>
      </w:pPr>
      <w:r w:rsidRPr="00723055">
        <w:rPr>
          <w:rFonts w:ascii="Times New Roman" w:hAnsi="Times New Roman"/>
          <w:i/>
          <w:iCs/>
        </w:rPr>
        <w:t>Additional constraints on maximum TBS for a HARQ process or maximum total TBS across all parallel HARQ processes are discussed</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4EF22F02" w14:textId="4F2164D6" w:rsidR="00AD3274" w:rsidRDefault="00CF7DE4" w:rsidP="008B2811">
      <w:pPr>
        <w:numPr>
          <w:ilvl w:val="0"/>
          <w:numId w:val="2"/>
        </w:numPr>
        <w:rPr>
          <w:sz w:val="22"/>
          <w:lang w:eastAsia="zh-CN"/>
        </w:rPr>
      </w:pPr>
      <w:r w:rsidRPr="00CF7DE4">
        <w:rPr>
          <w:sz w:val="22"/>
          <w:lang w:eastAsia="zh-CN"/>
        </w:rPr>
        <w:t>3GPP TR 38.821 V16.0.0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p w14:paraId="4F263444" w14:textId="3907F6B1" w:rsidR="00F225E4" w:rsidRPr="0079258C" w:rsidRDefault="00113EBE" w:rsidP="0079258C">
      <w:pPr>
        <w:numPr>
          <w:ilvl w:val="0"/>
          <w:numId w:val="2"/>
        </w:numPr>
        <w:rPr>
          <w:sz w:val="22"/>
          <w:lang w:eastAsia="zh-CN"/>
        </w:rPr>
      </w:pPr>
      <w:r w:rsidRPr="00113EBE">
        <w:rPr>
          <w:sz w:val="22"/>
          <w:lang w:eastAsia="zh-CN"/>
        </w:rPr>
        <w:t>3GPP TR 38.811 V15.3.0 (2020-07); 3rd Generation Partnership Project; Technical Specification Group Radio Access Network;</w:t>
      </w:r>
      <w:r>
        <w:rPr>
          <w:sz w:val="22"/>
          <w:lang w:eastAsia="zh-CN"/>
        </w:rPr>
        <w:t xml:space="preserve"> </w:t>
      </w:r>
      <w:r w:rsidRPr="00113EBE">
        <w:rPr>
          <w:sz w:val="22"/>
          <w:lang w:eastAsia="zh-CN"/>
        </w:rPr>
        <w:t>Study on New Radio (NR) to support non-terrestrial networks (Release 15)</w:t>
      </w:r>
    </w:p>
    <w:sectPr w:rsidR="00F225E4" w:rsidRPr="0079258C"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074A3" w14:textId="77777777" w:rsidR="00955074" w:rsidRDefault="00955074">
      <w:r>
        <w:separator/>
      </w:r>
    </w:p>
  </w:endnote>
  <w:endnote w:type="continuationSeparator" w:id="0">
    <w:p w14:paraId="353ACDC9" w14:textId="77777777" w:rsidR="00955074" w:rsidRDefault="0095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06270" w14:textId="77777777" w:rsidR="00955074" w:rsidRDefault="00955074">
      <w:r>
        <w:separator/>
      </w:r>
    </w:p>
  </w:footnote>
  <w:footnote w:type="continuationSeparator" w:id="0">
    <w:p w14:paraId="37F04CD1" w14:textId="77777777" w:rsidR="00955074" w:rsidRDefault="00955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57501E"/>
    <w:multiLevelType w:val="hybridMultilevel"/>
    <w:tmpl w:val="5B8C72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2" w15:restartNumberingAfterBreak="0">
    <w:nsid w:val="21903A88"/>
    <w:multiLevelType w:val="hybridMultilevel"/>
    <w:tmpl w:val="8362B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8"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FB5801"/>
    <w:multiLevelType w:val="hybridMultilevel"/>
    <w:tmpl w:val="DF067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31"/>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6"/>
  </w:num>
  <w:num w:numId="7">
    <w:abstractNumId w:val="3"/>
  </w:num>
  <w:num w:numId="8">
    <w:abstractNumId w:val="27"/>
  </w:num>
  <w:num w:numId="9">
    <w:abstractNumId w:val="1"/>
  </w:num>
  <w:num w:numId="10">
    <w:abstractNumId w:val="2"/>
  </w:num>
  <w:num w:numId="11">
    <w:abstractNumId w:val="4"/>
  </w:num>
  <w:num w:numId="12">
    <w:abstractNumId w:val="7"/>
  </w:num>
  <w:num w:numId="13">
    <w:abstractNumId w:val="24"/>
  </w:num>
  <w:num w:numId="14">
    <w:abstractNumId w:val="30"/>
  </w:num>
  <w:num w:numId="15">
    <w:abstractNumId w:val="5"/>
  </w:num>
  <w:num w:numId="16">
    <w:abstractNumId w:val="16"/>
  </w:num>
  <w:num w:numId="17">
    <w:abstractNumId w:val="23"/>
  </w:num>
  <w:num w:numId="18">
    <w:abstractNumId w:val="20"/>
  </w:num>
  <w:num w:numId="19">
    <w:abstractNumId w:val="18"/>
  </w:num>
  <w:num w:numId="20">
    <w:abstractNumId w:val="25"/>
  </w:num>
  <w:num w:numId="21">
    <w:abstractNumId w:val="29"/>
  </w:num>
  <w:num w:numId="22">
    <w:abstractNumId w:val="8"/>
  </w:num>
  <w:num w:numId="23">
    <w:abstractNumId w:val="28"/>
  </w:num>
  <w:num w:numId="24">
    <w:abstractNumId w:val="22"/>
  </w:num>
  <w:num w:numId="25">
    <w:abstractNumId w:val="6"/>
  </w:num>
  <w:num w:numId="26">
    <w:abstractNumId w:val="14"/>
  </w:num>
  <w:num w:numId="27">
    <w:abstractNumId w:val="13"/>
  </w:num>
  <w:num w:numId="28">
    <w:abstractNumId w:val="17"/>
  </w:num>
  <w:num w:numId="29">
    <w:abstractNumId w:val="19"/>
  </w:num>
  <w:num w:numId="30">
    <w:abstractNumId w:val="12"/>
  </w:num>
  <w:num w:numId="3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897"/>
    <w:rsid w:val="00010CF1"/>
    <w:rsid w:val="00010D10"/>
    <w:rsid w:val="00010E97"/>
    <w:rsid w:val="00010FD1"/>
    <w:rsid w:val="00011703"/>
    <w:rsid w:val="000123D7"/>
    <w:rsid w:val="000124D1"/>
    <w:rsid w:val="0001256E"/>
    <w:rsid w:val="00012D90"/>
    <w:rsid w:val="000131A4"/>
    <w:rsid w:val="000131B5"/>
    <w:rsid w:val="0001321B"/>
    <w:rsid w:val="00013412"/>
    <w:rsid w:val="00013462"/>
    <w:rsid w:val="00013633"/>
    <w:rsid w:val="000137FF"/>
    <w:rsid w:val="00013983"/>
    <w:rsid w:val="00013B63"/>
    <w:rsid w:val="000141F0"/>
    <w:rsid w:val="00014392"/>
    <w:rsid w:val="000149D0"/>
    <w:rsid w:val="0001595F"/>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461"/>
    <w:rsid w:val="000667D1"/>
    <w:rsid w:val="00066D02"/>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260"/>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08F"/>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749"/>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984"/>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A9"/>
    <w:rsid w:val="001138BF"/>
    <w:rsid w:val="00113D8F"/>
    <w:rsid w:val="00113EBE"/>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553"/>
    <w:rsid w:val="0015674F"/>
    <w:rsid w:val="001574F9"/>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91D"/>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037"/>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8DD"/>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BBD"/>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22"/>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3D2"/>
    <w:rsid w:val="00310CC6"/>
    <w:rsid w:val="00310CFB"/>
    <w:rsid w:val="00311642"/>
    <w:rsid w:val="00311761"/>
    <w:rsid w:val="00311941"/>
    <w:rsid w:val="00311AFC"/>
    <w:rsid w:val="003121B8"/>
    <w:rsid w:val="00313452"/>
    <w:rsid w:val="003137A0"/>
    <w:rsid w:val="003137ED"/>
    <w:rsid w:val="00313A6F"/>
    <w:rsid w:val="00313C4F"/>
    <w:rsid w:val="00313CF8"/>
    <w:rsid w:val="00313E2B"/>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551"/>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5A8"/>
    <w:rsid w:val="00341CDF"/>
    <w:rsid w:val="0034243C"/>
    <w:rsid w:val="0034246D"/>
    <w:rsid w:val="003426DE"/>
    <w:rsid w:val="0034287C"/>
    <w:rsid w:val="00342925"/>
    <w:rsid w:val="0034305B"/>
    <w:rsid w:val="003430E0"/>
    <w:rsid w:val="0034368B"/>
    <w:rsid w:val="00343752"/>
    <w:rsid w:val="00343BA9"/>
    <w:rsid w:val="00343C24"/>
    <w:rsid w:val="00343F02"/>
    <w:rsid w:val="00343FE5"/>
    <w:rsid w:val="0034404F"/>
    <w:rsid w:val="00344291"/>
    <w:rsid w:val="003443F2"/>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B0C"/>
    <w:rsid w:val="00357D8A"/>
    <w:rsid w:val="00357F5C"/>
    <w:rsid w:val="0036012E"/>
    <w:rsid w:val="0036029D"/>
    <w:rsid w:val="00360392"/>
    <w:rsid w:val="003604DB"/>
    <w:rsid w:val="0036056F"/>
    <w:rsid w:val="00360831"/>
    <w:rsid w:val="00360E73"/>
    <w:rsid w:val="0036159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6E9A"/>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8AF"/>
    <w:rsid w:val="00391A92"/>
    <w:rsid w:val="00391AC7"/>
    <w:rsid w:val="0039249C"/>
    <w:rsid w:val="003926BE"/>
    <w:rsid w:val="003926C2"/>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5BD"/>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C69"/>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64D"/>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0DA"/>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909"/>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68"/>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B87"/>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47653"/>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90C"/>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D08"/>
    <w:rsid w:val="004944BE"/>
    <w:rsid w:val="00494D25"/>
    <w:rsid w:val="00494E75"/>
    <w:rsid w:val="00495071"/>
    <w:rsid w:val="00495126"/>
    <w:rsid w:val="00495227"/>
    <w:rsid w:val="00495822"/>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9E"/>
    <w:rsid w:val="004C03CC"/>
    <w:rsid w:val="004C0644"/>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A8E"/>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AE4"/>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D54"/>
    <w:rsid w:val="00515E2B"/>
    <w:rsid w:val="005160BC"/>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4CA"/>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5DF"/>
    <w:rsid w:val="005A7DA6"/>
    <w:rsid w:val="005A7F72"/>
    <w:rsid w:val="005B00F1"/>
    <w:rsid w:val="005B03AA"/>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1B9"/>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4F8A"/>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D52"/>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279"/>
    <w:rsid w:val="00682318"/>
    <w:rsid w:val="006824E8"/>
    <w:rsid w:val="006829D8"/>
    <w:rsid w:val="00682A4A"/>
    <w:rsid w:val="00682B34"/>
    <w:rsid w:val="00682ED3"/>
    <w:rsid w:val="00683060"/>
    <w:rsid w:val="0068367C"/>
    <w:rsid w:val="00683D7F"/>
    <w:rsid w:val="00683EF3"/>
    <w:rsid w:val="00684258"/>
    <w:rsid w:val="006849EB"/>
    <w:rsid w:val="00684A0D"/>
    <w:rsid w:val="006851D7"/>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4DC6"/>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95E"/>
    <w:rsid w:val="006D7B93"/>
    <w:rsid w:val="006D7DAD"/>
    <w:rsid w:val="006E0B16"/>
    <w:rsid w:val="006E0E60"/>
    <w:rsid w:val="006E0ED0"/>
    <w:rsid w:val="006E176F"/>
    <w:rsid w:val="006E1EAA"/>
    <w:rsid w:val="006E1EE9"/>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4E2E"/>
    <w:rsid w:val="007052F3"/>
    <w:rsid w:val="00705584"/>
    <w:rsid w:val="00705B80"/>
    <w:rsid w:val="00705D51"/>
    <w:rsid w:val="00705E96"/>
    <w:rsid w:val="00706513"/>
    <w:rsid w:val="00706AAB"/>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BF0"/>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55"/>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4B0"/>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B7E"/>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49E"/>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37D"/>
    <w:rsid w:val="007715FA"/>
    <w:rsid w:val="007718CC"/>
    <w:rsid w:val="0077199F"/>
    <w:rsid w:val="007719DC"/>
    <w:rsid w:val="00771D89"/>
    <w:rsid w:val="007721AD"/>
    <w:rsid w:val="00772C97"/>
    <w:rsid w:val="00772D15"/>
    <w:rsid w:val="00772D4C"/>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58C"/>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5C66"/>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2FA"/>
    <w:rsid w:val="007A15BA"/>
    <w:rsid w:val="007A166E"/>
    <w:rsid w:val="007A18EB"/>
    <w:rsid w:val="007A1922"/>
    <w:rsid w:val="007A1B63"/>
    <w:rsid w:val="007A1DA1"/>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D29"/>
    <w:rsid w:val="00807453"/>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293"/>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1BBC"/>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94F"/>
    <w:rsid w:val="00845F51"/>
    <w:rsid w:val="00845F5B"/>
    <w:rsid w:val="00845F6D"/>
    <w:rsid w:val="00846106"/>
    <w:rsid w:val="008462E7"/>
    <w:rsid w:val="00846394"/>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66"/>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811"/>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633"/>
    <w:rsid w:val="008E290D"/>
    <w:rsid w:val="008E2B47"/>
    <w:rsid w:val="008E2C59"/>
    <w:rsid w:val="008E2D58"/>
    <w:rsid w:val="008E329C"/>
    <w:rsid w:val="008E35C0"/>
    <w:rsid w:val="008E378A"/>
    <w:rsid w:val="008E388C"/>
    <w:rsid w:val="008E3D78"/>
    <w:rsid w:val="008E3F52"/>
    <w:rsid w:val="008E412D"/>
    <w:rsid w:val="008E414B"/>
    <w:rsid w:val="008E427C"/>
    <w:rsid w:val="008E4471"/>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EB6"/>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80"/>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CAF"/>
    <w:rsid w:val="0095506D"/>
    <w:rsid w:val="00955074"/>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67C"/>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A1F"/>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CC1"/>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61E"/>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3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4F5"/>
    <w:rsid w:val="009D60A4"/>
    <w:rsid w:val="009D610C"/>
    <w:rsid w:val="009D62E7"/>
    <w:rsid w:val="009D6959"/>
    <w:rsid w:val="009D69D5"/>
    <w:rsid w:val="009D69E5"/>
    <w:rsid w:val="009D6B8A"/>
    <w:rsid w:val="009D75A4"/>
    <w:rsid w:val="009E02CF"/>
    <w:rsid w:val="009E04D4"/>
    <w:rsid w:val="009E0D42"/>
    <w:rsid w:val="009E0E9B"/>
    <w:rsid w:val="009E0FC3"/>
    <w:rsid w:val="009E1095"/>
    <w:rsid w:val="009E11A9"/>
    <w:rsid w:val="009E1544"/>
    <w:rsid w:val="009E176B"/>
    <w:rsid w:val="009E1D4E"/>
    <w:rsid w:val="009E1E13"/>
    <w:rsid w:val="009E1E2D"/>
    <w:rsid w:val="009E1EA2"/>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2E45"/>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CAC"/>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195"/>
    <w:rsid w:val="00A731A7"/>
    <w:rsid w:val="00A734DA"/>
    <w:rsid w:val="00A73873"/>
    <w:rsid w:val="00A739B6"/>
    <w:rsid w:val="00A73A4F"/>
    <w:rsid w:val="00A73A88"/>
    <w:rsid w:val="00A741D1"/>
    <w:rsid w:val="00A74269"/>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28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19"/>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0B27"/>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AB3"/>
    <w:rsid w:val="00AD5F2C"/>
    <w:rsid w:val="00AD6C7F"/>
    <w:rsid w:val="00AD6D46"/>
    <w:rsid w:val="00AD6D70"/>
    <w:rsid w:val="00AD6E82"/>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52B"/>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6D01"/>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5E5D"/>
    <w:rsid w:val="00BE60DC"/>
    <w:rsid w:val="00BE6149"/>
    <w:rsid w:val="00BE61CF"/>
    <w:rsid w:val="00BE65B3"/>
    <w:rsid w:val="00BE6D82"/>
    <w:rsid w:val="00BE6FCB"/>
    <w:rsid w:val="00BE72B2"/>
    <w:rsid w:val="00BE7888"/>
    <w:rsid w:val="00BE78FD"/>
    <w:rsid w:val="00BE790E"/>
    <w:rsid w:val="00BE7B27"/>
    <w:rsid w:val="00BE7F7C"/>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1F28"/>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DC2"/>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40C"/>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2EE8"/>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08B"/>
    <w:rsid w:val="00C3661D"/>
    <w:rsid w:val="00C36726"/>
    <w:rsid w:val="00C36965"/>
    <w:rsid w:val="00C36DAD"/>
    <w:rsid w:val="00C37050"/>
    <w:rsid w:val="00C3731A"/>
    <w:rsid w:val="00C37493"/>
    <w:rsid w:val="00C376DB"/>
    <w:rsid w:val="00C3795B"/>
    <w:rsid w:val="00C37F07"/>
    <w:rsid w:val="00C37F4A"/>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64E"/>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5F9D"/>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498"/>
    <w:rsid w:val="00C85DD4"/>
    <w:rsid w:val="00C8624E"/>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1DC"/>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605"/>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10"/>
    <w:rsid w:val="00CF1AA6"/>
    <w:rsid w:val="00CF1EBA"/>
    <w:rsid w:val="00CF2087"/>
    <w:rsid w:val="00CF20C8"/>
    <w:rsid w:val="00CF233B"/>
    <w:rsid w:val="00CF23D5"/>
    <w:rsid w:val="00CF2639"/>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21B"/>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C5"/>
    <w:rsid w:val="00D8483C"/>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C7CA3"/>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4D"/>
    <w:rsid w:val="00DD1ED7"/>
    <w:rsid w:val="00DD1F59"/>
    <w:rsid w:val="00DD23D2"/>
    <w:rsid w:val="00DD242B"/>
    <w:rsid w:val="00DD2572"/>
    <w:rsid w:val="00DD28CE"/>
    <w:rsid w:val="00DD2E90"/>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FD2"/>
    <w:rsid w:val="00DE183E"/>
    <w:rsid w:val="00DE18C5"/>
    <w:rsid w:val="00DE21CF"/>
    <w:rsid w:val="00DE24F4"/>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B6F"/>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2C9"/>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761"/>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684"/>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8BB"/>
    <w:rsid w:val="00E42975"/>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E6"/>
    <w:rsid w:val="00E87DCE"/>
    <w:rsid w:val="00E900A2"/>
    <w:rsid w:val="00E90199"/>
    <w:rsid w:val="00E91111"/>
    <w:rsid w:val="00E913F0"/>
    <w:rsid w:val="00E91514"/>
    <w:rsid w:val="00E915E1"/>
    <w:rsid w:val="00E91721"/>
    <w:rsid w:val="00E917B7"/>
    <w:rsid w:val="00E9190D"/>
    <w:rsid w:val="00E919F0"/>
    <w:rsid w:val="00E91AEB"/>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11E"/>
    <w:rsid w:val="00EA1377"/>
    <w:rsid w:val="00EA14D8"/>
    <w:rsid w:val="00EA14FB"/>
    <w:rsid w:val="00EA16F0"/>
    <w:rsid w:val="00EA1787"/>
    <w:rsid w:val="00EA189F"/>
    <w:rsid w:val="00EA1B4A"/>
    <w:rsid w:val="00EA1E02"/>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4D29"/>
    <w:rsid w:val="00EA5029"/>
    <w:rsid w:val="00EA5335"/>
    <w:rsid w:val="00EA5EBA"/>
    <w:rsid w:val="00EA5F1A"/>
    <w:rsid w:val="00EA6506"/>
    <w:rsid w:val="00EA677A"/>
    <w:rsid w:val="00EA67B0"/>
    <w:rsid w:val="00EA6D38"/>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6D6"/>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AEC"/>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593"/>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CBF"/>
    <w:rsid w:val="00FA1D8F"/>
    <w:rsid w:val="00FA1F1D"/>
    <w:rsid w:val="00FA2002"/>
    <w:rsid w:val="00FA23C6"/>
    <w:rsid w:val="00FA24C2"/>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1AC2"/>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22B"/>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80A"/>
    <w:rsid w:val="00FF5BF1"/>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C649CF8B-F062-4240-B3B4-8129047D6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20782</TotalTime>
  <Pages>3</Pages>
  <Words>1111</Words>
  <Characters>5839</Characters>
  <Application>Microsoft Office Word</Application>
  <DocSecurity>0</DocSecurity>
  <Lines>92</Lines>
  <Paragraphs>43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6989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1393</cp:revision>
  <cp:lastPrinted>2011-11-09T07:49:00Z</cp:lastPrinted>
  <dcterms:created xsi:type="dcterms:W3CDTF">2018-11-02T18:38:00Z</dcterms:created>
  <dcterms:modified xsi:type="dcterms:W3CDTF">2020-08-07T17:35:00Z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e477d955-2289-4f77-a564-e6e10f6c7f81</vt:lpwstr>
  </property>
  <property fmtid="{D5CDD505-2E9C-101B-9397-08002B2CF9AE}" pid="10" name="CTP_BU">
    <vt:lpwstr>TSCG CENTRAL GROUP</vt:lpwstr>
  </property>
  <property fmtid="{D5CDD505-2E9C-101B-9397-08002B2CF9AE}" pid="11" name="CTP_TimeStamp">
    <vt:lpwstr>2020-08-07 17:35:10Z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